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B080" w14:textId="42D2B11E" w:rsidR="0075702F" w:rsidRPr="00264F37" w:rsidRDefault="00264F37" w:rsidP="00264F37">
      <w:pPr>
        <w:jc w:val="center"/>
        <w:rPr>
          <w:rFonts w:ascii="Lato" w:hAnsi="Lato"/>
          <w:b/>
          <w:bCs/>
          <w:sz w:val="28"/>
          <w:szCs w:val="28"/>
        </w:rPr>
      </w:pPr>
      <w:proofErr w:type="spellStart"/>
      <w:r w:rsidRPr="00264F37">
        <w:rPr>
          <w:rFonts w:ascii="Lato" w:hAnsi="Lato"/>
          <w:b/>
          <w:bCs/>
          <w:i/>
          <w:iCs/>
          <w:sz w:val="28"/>
          <w:szCs w:val="28"/>
        </w:rPr>
        <w:t>APCIResponse</w:t>
      </w:r>
      <w:proofErr w:type="spellEnd"/>
      <w:r w:rsidRPr="00264F37">
        <w:rPr>
          <w:rFonts w:ascii="Lato" w:hAnsi="Lato"/>
          <w:b/>
          <w:bCs/>
          <w:sz w:val="28"/>
          <w:szCs w:val="28"/>
        </w:rPr>
        <w:t xml:space="preserve"> in Figures</w:t>
      </w:r>
    </w:p>
    <w:p w14:paraId="19041EEB" w14:textId="77777777" w:rsidR="00264F37" w:rsidRDefault="00264F37"/>
    <w:p w14:paraId="072D88F6" w14:textId="77777777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color w:val="000000"/>
          <w:sz w:val="24"/>
          <w:szCs w:val="24"/>
        </w:rPr>
        <w:drawing>
          <wp:inline distT="0" distB="0" distL="0" distR="0" wp14:anchorId="1ADC4EE3" wp14:editId="09C4E5DE">
            <wp:extent cx="5486400" cy="3200400"/>
            <wp:effectExtent l="0" t="0" r="0" b="0"/>
            <wp:docPr id="1237036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8EBE821" w14:textId="77777777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D3544FC" w14:textId="77777777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4FA428ED" w14:textId="77777777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color w:val="000000"/>
          <w:sz w:val="24"/>
          <w:szCs w:val="24"/>
        </w:rPr>
        <w:drawing>
          <wp:inline distT="0" distB="0" distL="0" distR="0" wp14:anchorId="58670DC8" wp14:editId="03373016">
            <wp:extent cx="5486400" cy="3200400"/>
            <wp:effectExtent l="38100" t="0" r="0" b="0"/>
            <wp:docPr id="26830377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7C2DA78" w14:textId="77777777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9442DA6" w14:textId="77777777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ascii="TimesNewRoman,Bold" w:hAnsi="TimesNewRoman,Bold" w:cs="TimesNewRoman,Bold"/>
          <w:b/>
          <w:bCs/>
          <w:noProof/>
          <w:color w:val="000000"/>
          <w:sz w:val="24"/>
          <w:szCs w:val="24"/>
        </w:rPr>
        <w:drawing>
          <wp:inline distT="0" distB="0" distL="0" distR="0" wp14:anchorId="08DA5098" wp14:editId="3A527A96">
            <wp:extent cx="5486400" cy="5121697"/>
            <wp:effectExtent l="0" t="0" r="0" b="3175"/>
            <wp:docPr id="29660115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797FD0B" w14:textId="77777777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CD34A43" w14:textId="77777777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0D4E02F" w14:textId="0CFCCD0E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Lato" w:hAnsi="Lato" w:cs="TimesNewRoman,Bold"/>
          <w:color w:val="000000"/>
          <w:sz w:val="24"/>
          <w:szCs w:val="24"/>
        </w:rPr>
      </w:pPr>
      <w:r w:rsidRPr="00A32DA4">
        <w:rPr>
          <w:rFonts w:ascii="Lato" w:hAnsi="Lato" w:cs="TimesNewRoman,Bold"/>
          <w:color w:val="000000"/>
          <w:sz w:val="24"/>
          <w:szCs w:val="24"/>
        </w:rPr>
        <w:t xml:space="preserve">In the period from October 23 to October 24 the </w:t>
      </w:r>
      <w:proofErr w:type="spellStart"/>
      <w:r w:rsidRPr="00A32DA4">
        <w:rPr>
          <w:rFonts w:ascii="Lato" w:hAnsi="Lato" w:cs="TimesNewRoman,Bold"/>
          <w:i/>
          <w:iCs/>
          <w:color w:val="000000"/>
          <w:sz w:val="24"/>
          <w:szCs w:val="24"/>
        </w:rPr>
        <w:t>APCIResponse</w:t>
      </w:r>
      <w:proofErr w:type="spellEnd"/>
      <w:r w:rsidRPr="00A32DA4">
        <w:rPr>
          <w:rFonts w:ascii="Lato" w:hAnsi="Lato" w:cs="TimesNewRoman,Bold"/>
          <w:color w:val="000000"/>
          <w:sz w:val="24"/>
          <w:szCs w:val="24"/>
        </w:rPr>
        <w:t xml:space="preserve"> has received 76 requests in total. This number translated into 65 </w:t>
      </w:r>
      <w:r w:rsidRPr="00A32DA4">
        <w:rPr>
          <w:rFonts w:ascii="Lato" w:hAnsi="Lato" w:cs="TimesNewRoman,Bold"/>
          <w:color w:val="000000"/>
          <w:sz w:val="24"/>
          <w:szCs w:val="24"/>
        </w:rPr>
        <w:t>jobs;</w:t>
      </w:r>
      <w:r w:rsidRPr="00A32DA4">
        <w:rPr>
          <w:rFonts w:ascii="Lato" w:hAnsi="Lato" w:cs="TimesNewRoman,Bold"/>
          <w:color w:val="000000"/>
          <w:sz w:val="24"/>
          <w:szCs w:val="24"/>
        </w:rPr>
        <w:t xml:space="preserve"> the rest of the requests were cancelled by the providers. Out of these 65 jobs, 30 jobs went to APCI members and 35 to non-members. Comparison to the previous year shows that we have taken 2 calls less this year, the number of calls for the same period last year was 78. </w:t>
      </w:r>
    </w:p>
    <w:p w14:paraId="01A917A9" w14:textId="77777777" w:rsidR="00264F37" w:rsidRPr="00A32DA4" w:rsidRDefault="00264F37" w:rsidP="00264F37">
      <w:pPr>
        <w:autoSpaceDE w:val="0"/>
        <w:autoSpaceDN w:val="0"/>
        <w:adjustRightInd w:val="0"/>
        <w:spacing w:after="0" w:line="240" w:lineRule="auto"/>
        <w:rPr>
          <w:rFonts w:ascii="Lato" w:hAnsi="Lato" w:cs="TimesNewRoman,Bold"/>
          <w:color w:val="000000"/>
          <w:sz w:val="24"/>
          <w:szCs w:val="24"/>
        </w:rPr>
      </w:pPr>
    </w:p>
    <w:p w14:paraId="4EFD64CB" w14:textId="2F1B9BFA" w:rsidR="00264F37" w:rsidRDefault="00264F37" w:rsidP="00264F37">
      <w:pPr>
        <w:autoSpaceDE w:val="0"/>
        <w:autoSpaceDN w:val="0"/>
        <w:adjustRightInd w:val="0"/>
        <w:spacing w:after="0" w:line="240" w:lineRule="auto"/>
        <w:rPr>
          <w:rFonts w:ascii="Lato" w:hAnsi="Lato" w:cs="TimesNewRoman,Bold"/>
          <w:color w:val="000000"/>
          <w:sz w:val="24"/>
          <w:szCs w:val="24"/>
        </w:rPr>
      </w:pPr>
      <w:r w:rsidRPr="00A32DA4">
        <w:rPr>
          <w:rFonts w:ascii="Lato" w:hAnsi="Lato" w:cs="TimesNewRoman,Bold"/>
          <w:color w:val="000000"/>
          <w:sz w:val="24"/>
          <w:szCs w:val="24"/>
        </w:rPr>
        <w:t>We have received calls from Essex</w:t>
      </w:r>
      <w:r>
        <w:rPr>
          <w:rFonts w:ascii="Lato" w:hAnsi="Lato" w:cs="TimesNewRoman,Bold"/>
          <w:color w:val="000000"/>
          <w:sz w:val="24"/>
          <w:szCs w:val="24"/>
        </w:rPr>
        <w:t xml:space="preserve"> Police,</w:t>
      </w:r>
      <w:r w:rsidRPr="00A32DA4">
        <w:rPr>
          <w:rFonts w:ascii="Lato" w:hAnsi="Lato" w:cs="TimesNewRoman,Bold"/>
          <w:color w:val="000000"/>
          <w:sz w:val="24"/>
          <w:szCs w:val="24"/>
        </w:rPr>
        <w:t xml:space="preserve"> BCH </w:t>
      </w:r>
      <w:r>
        <w:rPr>
          <w:rFonts w:ascii="Lato" w:hAnsi="Lato" w:cs="TimesNewRoman,Bold"/>
          <w:color w:val="000000"/>
          <w:sz w:val="24"/>
          <w:szCs w:val="24"/>
        </w:rPr>
        <w:t xml:space="preserve">(Bedfordshire </w:t>
      </w:r>
      <w:r w:rsidRPr="00A32DA4">
        <w:rPr>
          <w:rFonts w:ascii="Lato" w:hAnsi="Lato" w:cs="TimesNewRoman,Bold"/>
          <w:color w:val="000000"/>
          <w:sz w:val="24"/>
          <w:szCs w:val="24"/>
        </w:rPr>
        <w:t>Police</w:t>
      </w:r>
      <w:r>
        <w:rPr>
          <w:rFonts w:ascii="Lato" w:hAnsi="Lato" w:cs="TimesNewRoman,Bold"/>
          <w:color w:val="000000"/>
          <w:sz w:val="24"/>
          <w:szCs w:val="24"/>
        </w:rPr>
        <w:t>, Cambridgeshire and Hertfordshire Constabularies)</w:t>
      </w:r>
      <w:r w:rsidRPr="00A32DA4">
        <w:rPr>
          <w:rFonts w:ascii="Lato" w:hAnsi="Lato" w:cs="TimesNewRoman,Bold"/>
          <w:color w:val="000000"/>
          <w:sz w:val="24"/>
          <w:szCs w:val="24"/>
        </w:rPr>
        <w:t xml:space="preserve">, City of London Police, BTP, CPS, </w:t>
      </w:r>
      <w:r>
        <w:rPr>
          <w:rFonts w:ascii="Lato" w:hAnsi="Lato" w:cs="TimesNewRoman,Bold"/>
          <w:color w:val="000000"/>
          <w:sz w:val="24"/>
          <w:szCs w:val="24"/>
        </w:rPr>
        <w:t xml:space="preserve">Crown Courts, </w:t>
      </w:r>
      <w:r w:rsidRPr="00A32DA4">
        <w:rPr>
          <w:rFonts w:ascii="Lato" w:hAnsi="Lato" w:cs="TimesNewRoman,Bold"/>
          <w:color w:val="000000"/>
          <w:sz w:val="24"/>
          <w:szCs w:val="24"/>
        </w:rPr>
        <w:t>Coroner’s Court</w:t>
      </w:r>
      <w:r>
        <w:rPr>
          <w:rFonts w:ascii="Lato" w:hAnsi="Lato" w:cs="TimesNewRoman,Bold"/>
          <w:color w:val="000000"/>
          <w:sz w:val="24"/>
          <w:szCs w:val="24"/>
        </w:rPr>
        <w:t>s</w:t>
      </w:r>
      <w:r w:rsidRPr="00A32DA4">
        <w:rPr>
          <w:rFonts w:ascii="Lato" w:hAnsi="Lato" w:cs="TimesNewRoman,Bold"/>
          <w:color w:val="000000"/>
          <w:sz w:val="24"/>
          <w:szCs w:val="24"/>
        </w:rPr>
        <w:t>, Solicitors and IFCA (Inshore Fisheries and Conservation Authority). The geographical breakdown was London and East of England and others, i.e., Newcastle, Bradford, Derby, Leeds, Chester, Poole, HMP Berwyn (Wrexham).</w:t>
      </w:r>
    </w:p>
    <w:p w14:paraId="731ED977" w14:textId="77777777" w:rsidR="00264F37" w:rsidRPr="00A32DA4" w:rsidRDefault="00264F37" w:rsidP="00264F37">
      <w:pPr>
        <w:autoSpaceDE w:val="0"/>
        <w:autoSpaceDN w:val="0"/>
        <w:adjustRightInd w:val="0"/>
        <w:spacing w:after="0" w:line="240" w:lineRule="auto"/>
        <w:rPr>
          <w:rFonts w:ascii="Lato" w:hAnsi="Lato" w:cs="TimesNewRoman,Bold"/>
          <w:color w:val="000000"/>
          <w:sz w:val="24"/>
          <w:szCs w:val="24"/>
        </w:rPr>
      </w:pPr>
    </w:p>
    <w:p w14:paraId="6A10A023" w14:textId="77777777" w:rsidR="00264F37" w:rsidRPr="00A32DA4" w:rsidRDefault="00264F37" w:rsidP="00264F37">
      <w:pPr>
        <w:autoSpaceDE w:val="0"/>
        <w:autoSpaceDN w:val="0"/>
        <w:adjustRightInd w:val="0"/>
        <w:spacing w:after="0" w:line="240" w:lineRule="auto"/>
        <w:rPr>
          <w:rFonts w:ascii="Lato" w:hAnsi="Lato" w:cs="TimesNewRoman,Bold"/>
          <w:color w:val="000000"/>
          <w:sz w:val="24"/>
          <w:szCs w:val="24"/>
        </w:rPr>
      </w:pPr>
      <w:r w:rsidRPr="00A32DA4">
        <w:rPr>
          <w:rFonts w:ascii="Lato" w:hAnsi="Lato" w:cs="TimesNewRoman,Bold"/>
          <w:color w:val="000000"/>
          <w:sz w:val="24"/>
          <w:szCs w:val="24"/>
        </w:rPr>
        <w:t>In total 26 different language were requested where the most popular language</w:t>
      </w:r>
      <w:r>
        <w:rPr>
          <w:rFonts w:ascii="Lato" w:hAnsi="Lato" w:cs="TimesNewRoman,Bold"/>
          <w:color w:val="000000"/>
          <w:sz w:val="24"/>
          <w:szCs w:val="24"/>
        </w:rPr>
        <w:t>s</w:t>
      </w:r>
      <w:r w:rsidRPr="00A32DA4">
        <w:rPr>
          <w:rFonts w:ascii="Lato" w:hAnsi="Lato" w:cs="TimesNewRoman,Bold"/>
          <w:color w:val="000000"/>
          <w:sz w:val="24"/>
          <w:szCs w:val="24"/>
        </w:rPr>
        <w:t xml:space="preserve"> were Portugues, followed by Albanian, Arabic and Spanish. </w:t>
      </w:r>
    </w:p>
    <w:p w14:paraId="2D25334B" w14:textId="77777777" w:rsidR="00264F37" w:rsidRDefault="00264F37"/>
    <w:sectPr w:rsidR="00264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37"/>
    <w:rsid w:val="000D3AA3"/>
    <w:rsid w:val="00264F37"/>
    <w:rsid w:val="00756E6D"/>
    <w:rsid w:val="0075702F"/>
    <w:rsid w:val="00AE64FB"/>
    <w:rsid w:val="00BD2A60"/>
    <w:rsid w:val="00E41A90"/>
    <w:rsid w:val="00F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CFE3"/>
  <w15:chartTrackingRefBased/>
  <w15:docId w15:val="{0EE42868-5118-4E9C-B22F-C2F0EA3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effectLst>
                  <a:outerShdw blurRad="50800" dist="50800" dir="5400000" algn="ctr" rotWithShape="0">
                    <a:schemeClr val="bg2"/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i="1">
                <a:solidFill>
                  <a:schemeClr val="tx1">
                    <a:lumMod val="95000"/>
                    <a:lumOff val="5000"/>
                  </a:schemeClr>
                </a:solidFill>
                <a:effectLst>
                  <a:outerShdw blurRad="50800" dist="50800" dir="5400000" algn="ctr" rotWithShape="0">
                    <a:schemeClr val="bg2"/>
                  </a:outerShdw>
                </a:effectLst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Number of Requests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effectLst>
                <a:outerShdw blurRad="50800" dist="50800" dir="5400000" algn="ctr" rotWithShape="0">
                  <a:schemeClr val="bg2"/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London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Sheet1!$A$2:$A$14</c:f>
              <c:numCache>
                <c:formatCode>mmm\-yy</c:formatCode>
                <c:ptCount val="13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1">
                  <c:v>1</c:v>
                </c:pt>
                <c:pt idx="2">
                  <c:v>3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97-420E-BB5C-B1C345522C5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East of England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Sheet1!$A$2:$A$14</c:f>
              <c:numCache>
                <c:formatCode>mmm\-yy</c:formatCode>
                <c:ptCount val="13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</c:numCache>
            </c:num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6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97-420E-BB5C-B1C345522C5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Sheet1!$A$2:$A$14</c:f>
              <c:numCache>
                <c:formatCode>mmm\-yy</c:formatCode>
                <c:ptCount val="13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97-420E-BB5C-B1C345522C5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46908943"/>
        <c:axId val="1146917583"/>
      </c:barChart>
      <c:dateAx>
        <c:axId val="1146908943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6917583"/>
        <c:crosses val="autoZero"/>
        <c:auto val="1"/>
        <c:lblOffset val="100"/>
        <c:baseTimeUnit val="months"/>
      </c:dateAx>
      <c:valAx>
        <c:axId val="1146917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6908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Work Providers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Work Providers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FB6-456F-BFA4-CE95BDC8078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FB6-456F-BFA4-CE95BDC8078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FB6-456F-BFA4-CE95BDC8078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2FB6-456F-BFA4-CE95BDC8078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2FB6-456F-BFA4-CE95BDC8078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2FB6-456F-BFA4-CE95BDC8078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2FB6-456F-BFA4-CE95BDC8078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2FB6-456F-BFA4-CE95BDC8078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2DD3704C-E47D-483D-97B0-43FBFF29615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FB6-456F-BFA4-CE95BDC8078E}"/>
                </c:ext>
              </c:extLst>
            </c:dLbl>
            <c:dLbl>
              <c:idx val="1"/>
              <c:layout>
                <c:manualLayout>
                  <c:x val="-8.7836650627004964E-2"/>
                  <c:y val="-0.37530933633295838"/>
                </c:manualLayout>
              </c:layout>
              <c:tx>
                <c:rich>
                  <a:bodyPr/>
                  <a:lstStyle/>
                  <a:p>
                    <a:fld id="{4417E439-B9E1-40CA-A9BB-C73012B4C094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FB6-456F-BFA4-CE95BDC8078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131A751-602B-4F2A-8B33-C5012C5BD7B7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FB6-456F-BFA4-CE95BDC8078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0332AFC-ABDC-443C-815E-3813027E5C8B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FB6-456F-BFA4-CE95BDC8078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F5D64DB-D7FE-4B46-B3AA-E805C8B455D3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FB6-456F-BFA4-CE95BDC8078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D9BB09B5-7FED-4C24-A782-CA002C834C95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2FB6-456F-BFA4-CE95BDC8078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32860D4F-B578-4319-A2C2-A3A56E0122BD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FB6-456F-BFA4-CE95BDC8078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155DE32D-57B5-42C7-AD45-9790F89CB061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FB6-456F-BFA4-CE95BDC807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Essex Police</c:v>
                </c:pt>
                <c:pt idx="1">
                  <c:v>City of London Police</c:v>
                </c:pt>
                <c:pt idx="2">
                  <c:v>BCH</c:v>
                </c:pt>
                <c:pt idx="3">
                  <c:v>Solicitors</c:v>
                </c:pt>
                <c:pt idx="4">
                  <c:v>CPS</c:v>
                </c:pt>
                <c:pt idx="5">
                  <c:v>IFCA</c:v>
                </c:pt>
                <c:pt idx="6">
                  <c:v>Coroner</c:v>
                </c:pt>
                <c:pt idx="7">
                  <c:v>BTP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26</c:v>
                </c:pt>
                <c:pt idx="1">
                  <c:v>18</c:v>
                </c:pt>
                <c:pt idx="2">
                  <c:v>13</c:v>
                </c:pt>
                <c:pt idx="3">
                  <c:v>10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FB6-456F-BFA4-CE95BDC8078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Languages Requested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095891659375911"/>
          <c:y val="0.19558836395450568"/>
          <c:w val="0.83830034266550013"/>
          <c:h val="0.790785664247485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Sheet1!$A$2:$A$28</c:f>
              <c:strCache>
                <c:ptCount val="27"/>
                <c:pt idx="0">
                  <c:v>Portuguese</c:v>
                </c:pt>
                <c:pt idx="1">
                  <c:v>Albanian</c:v>
                </c:pt>
                <c:pt idx="2">
                  <c:v>Arabic</c:v>
                </c:pt>
                <c:pt idx="3">
                  <c:v>Spanish</c:v>
                </c:pt>
                <c:pt idx="4">
                  <c:v>Polish</c:v>
                </c:pt>
                <c:pt idx="5">
                  <c:v>Russian</c:v>
                </c:pt>
                <c:pt idx="6">
                  <c:v>Tamil</c:v>
                </c:pt>
                <c:pt idx="7">
                  <c:v>Romanian</c:v>
                </c:pt>
                <c:pt idx="8">
                  <c:v>Bulgarian</c:v>
                </c:pt>
                <c:pt idx="9">
                  <c:v>French</c:v>
                </c:pt>
                <c:pt idx="10">
                  <c:v>Italian</c:v>
                </c:pt>
                <c:pt idx="11">
                  <c:v>Malayalam</c:v>
                </c:pt>
                <c:pt idx="12">
                  <c:v>Panjabi</c:v>
                </c:pt>
                <c:pt idx="13">
                  <c:v>Telugu</c:v>
                </c:pt>
                <c:pt idx="14">
                  <c:v>Ukranian</c:v>
                </c:pt>
                <c:pt idx="15">
                  <c:v>Farsi</c:v>
                </c:pt>
                <c:pt idx="16">
                  <c:v>Fuzhou</c:v>
                </c:pt>
                <c:pt idx="17">
                  <c:v>German</c:v>
                </c:pt>
                <c:pt idx="18">
                  <c:v>Hebrew</c:v>
                </c:pt>
                <c:pt idx="19">
                  <c:v>Hungarian</c:v>
                </c:pt>
                <c:pt idx="20">
                  <c:v>Indonisian</c:v>
                </c:pt>
                <c:pt idx="21">
                  <c:v>Mandarin</c:v>
                </c:pt>
                <c:pt idx="22">
                  <c:v>Maroccan</c:v>
                </c:pt>
                <c:pt idx="23">
                  <c:v>Somali</c:v>
                </c:pt>
                <c:pt idx="24">
                  <c:v>Sylheti</c:v>
                </c:pt>
                <c:pt idx="25">
                  <c:v>Tatum</c:v>
                </c:pt>
                <c:pt idx="26">
                  <c:v>Wolof</c:v>
                </c:pt>
              </c:strCache>
            </c:strRef>
          </c:cat>
          <c:val>
            <c:numRef>
              <c:f>Sheet1!$B$2:$B$28</c:f>
              <c:numCache>
                <c:formatCode>General</c:formatCode>
                <c:ptCount val="27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4E-4B76-8E6C-213B0AEBD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57868608"/>
        <c:axId val="1252240080"/>
      </c:barChart>
      <c:catAx>
        <c:axId val="357868608"/>
        <c:scaling>
          <c:orientation val="maxMin"/>
        </c:scaling>
        <c:delete val="0"/>
        <c:axPos val="l"/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2240080"/>
        <c:crosses val="autoZero"/>
        <c:auto val="1"/>
        <c:lblAlgn val="ctr"/>
        <c:lblOffset val="100"/>
        <c:noMultiLvlLbl val="0"/>
      </c:catAx>
      <c:valAx>
        <c:axId val="125224008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786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Homer</dc:creator>
  <cp:keywords/>
  <dc:description/>
  <cp:lastModifiedBy>Albina Homer</cp:lastModifiedBy>
  <cp:revision>1</cp:revision>
  <dcterms:created xsi:type="dcterms:W3CDTF">2024-12-01T18:08:00Z</dcterms:created>
  <dcterms:modified xsi:type="dcterms:W3CDTF">2024-12-01T18:17:00Z</dcterms:modified>
</cp:coreProperties>
</file>